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54"/>
        <w:gridCol w:w="9226"/>
      </w:tblGrid>
      <w:tr w:rsidR="00140348" w:rsidRPr="00140348" w:rsidTr="00140348">
        <w:tc>
          <w:tcPr>
            <w:tcW w:w="0" w:type="auto"/>
            <w:gridSpan w:val="2"/>
            <w:tcBorders>
              <w:top w:val="nil"/>
              <w:left w:val="nil"/>
              <w:bottom w:val="nil"/>
              <w:right w:val="nil"/>
            </w:tcBorders>
            <w:shd w:val="clear" w:color="auto" w:fill="FFFFFF"/>
            <w:hideMark/>
          </w:tcPr>
          <w:p w:rsidR="00140348" w:rsidRPr="00140348" w:rsidRDefault="00140348" w:rsidP="00140348">
            <w:pPr>
              <w:spacing w:before="180" w:after="0" w:line="240" w:lineRule="atLeast"/>
              <w:ind w:right="-421"/>
              <w:outlineLvl w:val="4"/>
              <w:rPr>
                <w:rFonts w:ascii="Arial" w:eastAsia="Times New Roman" w:hAnsi="Arial" w:cs="Arial"/>
                <w:b/>
                <w:bCs/>
                <w:color w:val="333333"/>
                <w:sz w:val="20"/>
                <w:szCs w:val="20"/>
                <w:lang w:val="nl-NL"/>
              </w:rPr>
            </w:pPr>
            <w:r>
              <w:rPr>
                <w:rFonts w:ascii="Arial" w:eastAsia="Times New Roman" w:hAnsi="Arial" w:cs="Arial"/>
                <w:b/>
                <w:bCs/>
                <w:color w:val="333333"/>
                <w:sz w:val="20"/>
                <w:szCs w:val="20"/>
                <w:lang w:val="nl-NL"/>
              </w:rPr>
              <w:t>Case: e</w:t>
            </w:r>
            <w:r w:rsidRPr="00140348">
              <w:rPr>
                <w:rFonts w:ascii="Arial" w:eastAsia="Times New Roman" w:hAnsi="Arial" w:cs="Arial"/>
                <w:b/>
                <w:bCs/>
                <w:color w:val="333333"/>
                <w:sz w:val="20"/>
                <w:szCs w:val="20"/>
                <w:lang w:val="nl-NL"/>
              </w:rPr>
              <w:t>en asielzoekerscentrum in Broekhoven</w:t>
            </w:r>
          </w:p>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De gemeente Broekhoven staat bekend als een aantrekkelijke provincieplaats. De stad ligt in een landelijke omgeving, er is veel groen in en om de woonwijken. Broekhoven telt 55 000 inwoners en het voorzieningenniveau is er indrukwekkend. Zo heeft de stad een waaier aan recreatieve en culturele instellingen. Het winkelhart met zijn modeboetieks, bloemenshops en galeries trekt in de weekeinden altijd veel dagjesmensen. Broekhoven is een welvarende gemeente; de meeste werkenden hebben hun betrekking overigens buiten de stadsgrenzen. De stad kent een eigen lokale omroep en een huis-aan-huisblad.</w:t>
            </w:r>
          </w:p>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In de gemeenteraad van Broekhoven is sinds april 1998 het CDA de grootste partij, gevolgd door Lokaal Belang Broekhoven (LBB) en de PvdA. Voorts hebben SGP, GPV en RPF er een samenwerkingsverband en is er een vertegenwoordiging van GroenLinks. Het college van B&amp;W bestaat uit wethouders van CDA en LBB. De burgemeester is van PvdA-huize.</w:t>
            </w:r>
          </w:p>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Het Centraal Orgaan Opvang Asielzoekers heeft B&amp;W benaderd met de vraag of de gemeente 250 asielzoekers kan opvangen. Een voormalig klooster zou als locatie kunnen dienen; het gebouw staat al enkele jaren leeg. Aanvankelijke plannen voor de vestiging van een conferentieoord zijn vorig jaar stopgezet. Wel is een deel van het klooster in gebruik als noodhuisvesting voor de brugklassen van het plaatselijk lyceum, dat wordt gerenoveerd. Het klooster ligt aan de rand van de stad in de wijk Ommelanden: een rustige wijk met veel herenhuizen, gebouwd in de jaren dertig van deze eeuw.</w:t>
            </w:r>
          </w:p>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Het college van B&amp;W staat niet onwelwillend tegenover het verzoek. Aan de hand van een ambtelijke notitie heeft een - besloten - vergadering plaatsgevonden van de raadscommissies voor Volkshuisvesting en Sociale Zaken. In deze vergadering blijkt een meerderheid het voorstel om de vestigingsmogelijkheid nader te onderzoeken te steunen. Wel wijzen diverse raadsleden op de eventuele weerstand van wijkbewoners; fijntjes worden de wethouders herinnerd aan de acties vanuit de bevolking toen een jaar geleden werd voorgesteld een leegstaande supermarkt aan te kopen voor de opvang van drugsverslaafden. 'Er moet wel draagvlak zijn onder de bevolking', klinkt het van verscheidene kanten.</w:t>
            </w:r>
          </w:p>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Je bent als communicatieadviseur werkzaam bij de gemeente Broekhoven. Het Bureau Voorlichting kent naast jou nog één medewerker voor de publieksbalie en de wekelijkse gemeentepagina in het huis-aan-huisblad. De wethouders van Volkshuisvesting en Sociale Zaken vragen je mee te denken over de communicatie rond deze kwestie.</w:t>
            </w:r>
          </w:p>
        </w:tc>
      </w:tr>
      <w:tr w:rsidR="00140348" w:rsidRPr="00140348" w:rsidTr="00140348">
        <w:tblPrEx>
          <w:shd w:val="clear" w:color="auto" w:fill="auto"/>
        </w:tblPrEx>
        <w:trPr>
          <w:trHeight w:val="300"/>
        </w:trPr>
        <w:tc>
          <w:tcPr>
            <w:tcW w:w="450" w:type="dxa"/>
            <w:tcBorders>
              <w:top w:val="nil"/>
              <w:left w:val="nil"/>
              <w:bottom w:val="nil"/>
              <w:right w:val="nil"/>
            </w:tcBorders>
            <w:hideMark/>
          </w:tcPr>
          <w:p w:rsidR="00140348" w:rsidRPr="00140348" w:rsidRDefault="00140348" w:rsidP="00B70D80">
            <w:pPr>
              <w:spacing w:after="0" w:line="240" w:lineRule="auto"/>
              <w:ind w:right="-421"/>
              <w:rPr>
                <w:rFonts w:ascii="Arial" w:eastAsia="Times New Roman" w:hAnsi="Arial" w:cs="Arial"/>
                <w:b/>
                <w:bCs/>
                <w:sz w:val="20"/>
                <w:szCs w:val="20"/>
              </w:rPr>
            </w:pPr>
          </w:p>
        </w:tc>
        <w:tc>
          <w:tcPr>
            <w:tcW w:w="0" w:type="auto"/>
            <w:tcBorders>
              <w:top w:val="nil"/>
              <w:left w:val="nil"/>
              <w:bottom w:val="nil"/>
              <w:right w:val="nil"/>
            </w:tcBorders>
            <w:hideMark/>
          </w:tcPr>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Eén van de activiteiten die je voorstelt, is een onderzoek naar de mening en houding van de inwoners van Broekhoven over de mogelijke vestiging van een asielzoekerscentrum.</w:t>
            </w:r>
          </w:p>
          <w:p w:rsidR="00140348" w:rsidRPr="00140348" w:rsidRDefault="00140348" w:rsidP="00140348">
            <w:pPr>
              <w:numPr>
                <w:ilvl w:val="0"/>
                <w:numId w:val="1"/>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Welk type onderzoek stel je voor? Beschrijf de opzet van dit onderzoek en werk daarbij in elk geval de volgende items uit: probleemstelling, doelstelling, kosten en tijdpad.</w:t>
            </w:r>
          </w:p>
          <w:p w:rsidR="00140348" w:rsidRPr="00140348" w:rsidRDefault="00140348" w:rsidP="00140348">
            <w:pPr>
              <w:numPr>
                <w:ilvl w:val="0"/>
                <w:numId w:val="1"/>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Je staat voor de keuze het door gekozen onderzoek in huis uit te voeren dan wel uit te besteden. Noem vier selectiecriteria aan de hand waarvan je hierover een besluit neemt.</w:t>
            </w:r>
          </w:p>
        </w:tc>
      </w:tr>
    </w:tbl>
    <w:p w:rsidR="00140348" w:rsidRPr="00140348" w:rsidRDefault="00140348" w:rsidP="00140348">
      <w:pPr>
        <w:shd w:val="clear" w:color="auto" w:fill="FFFFFF"/>
        <w:spacing w:after="0" w:line="240" w:lineRule="auto"/>
        <w:ind w:right="-421"/>
        <w:rPr>
          <w:rFonts w:ascii="Arial" w:eastAsia="Times New Roman" w:hAnsi="Arial" w:cs="Arial"/>
          <w:vanish/>
          <w:color w:val="333333"/>
          <w:sz w:val="20"/>
          <w:szCs w:val="20"/>
        </w:rPr>
      </w:pPr>
    </w:p>
    <w:tbl>
      <w:tblPr>
        <w:tblW w:w="0" w:type="auto"/>
        <w:tblCellMar>
          <w:left w:w="0" w:type="dxa"/>
          <w:right w:w="0" w:type="dxa"/>
        </w:tblCellMar>
        <w:tblLook w:val="04A0" w:firstRow="1" w:lastRow="0" w:firstColumn="1" w:lastColumn="0" w:noHBand="0" w:noVBand="1"/>
      </w:tblPr>
      <w:tblGrid>
        <w:gridCol w:w="321"/>
        <w:gridCol w:w="9759"/>
      </w:tblGrid>
      <w:tr w:rsidR="00140348" w:rsidRPr="00140348" w:rsidTr="00140348">
        <w:tc>
          <w:tcPr>
            <w:tcW w:w="0" w:type="auto"/>
            <w:gridSpan w:val="2"/>
            <w:tcBorders>
              <w:top w:val="nil"/>
              <w:left w:val="nil"/>
              <w:bottom w:val="nil"/>
              <w:right w:val="nil"/>
            </w:tcBorders>
            <w:hideMark/>
          </w:tcPr>
          <w:tbl>
            <w:tblPr>
              <w:tblW w:w="10490" w:type="dxa"/>
              <w:tblCellMar>
                <w:left w:w="0" w:type="dxa"/>
                <w:right w:w="0" w:type="dxa"/>
              </w:tblCellMar>
              <w:tblLook w:val="04A0" w:firstRow="1" w:lastRow="0" w:firstColumn="1" w:lastColumn="0" w:noHBand="0" w:noVBand="1"/>
            </w:tblPr>
            <w:tblGrid>
              <w:gridCol w:w="10490"/>
            </w:tblGrid>
            <w:tr w:rsidR="00140348" w:rsidRPr="00140348" w:rsidTr="00B70D80">
              <w:tc>
                <w:tcPr>
                  <w:tcW w:w="10490" w:type="dxa"/>
                  <w:tcBorders>
                    <w:top w:val="nil"/>
                    <w:left w:val="nil"/>
                    <w:bottom w:val="nil"/>
                    <w:right w:val="nil"/>
                  </w:tcBorders>
                  <w:tcMar>
                    <w:top w:w="180" w:type="dxa"/>
                    <w:left w:w="0" w:type="dxa"/>
                    <w:bottom w:w="0" w:type="dxa"/>
                    <w:right w:w="0" w:type="dxa"/>
                  </w:tcMar>
                  <w:hideMark/>
                </w:tcPr>
                <w:p w:rsidR="00140348" w:rsidRPr="00140348" w:rsidRDefault="00140348" w:rsidP="00140348">
                  <w:pPr>
                    <w:spacing w:after="0" w:line="240" w:lineRule="auto"/>
                    <w:ind w:right="-421"/>
                    <w:rPr>
                      <w:rFonts w:ascii="Arial" w:eastAsia="Times New Roman" w:hAnsi="Arial" w:cs="Arial"/>
                      <w:b/>
                      <w:bCs/>
                      <w:sz w:val="20"/>
                      <w:szCs w:val="20"/>
                    </w:rPr>
                  </w:pPr>
                  <w:proofErr w:type="spellStart"/>
                  <w:r w:rsidRPr="00140348">
                    <w:rPr>
                      <w:rFonts w:ascii="Arial" w:eastAsia="Times New Roman" w:hAnsi="Arial" w:cs="Arial"/>
                      <w:b/>
                      <w:bCs/>
                      <w:sz w:val="20"/>
                      <w:szCs w:val="20"/>
                    </w:rPr>
                    <w:t>Antwoord</w:t>
                  </w:r>
                  <w:proofErr w:type="spellEnd"/>
                  <w:r w:rsidRPr="00140348">
                    <w:rPr>
                      <w:rFonts w:ascii="Arial" w:eastAsia="Times New Roman" w:hAnsi="Arial" w:cs="Arial"/>
                      <w:b/>
                      <w:bCs/>
                      <w:sz w:val="20"/>
                      <w:szCs w:val="20"/>
                    </w:rPr>
                    <w:t>:</w:t>
                  </w:r>
                </w:p>
              </w:tc>
            </w:tr>
            <w:tr w:rsidR="00140348" w:rsidRPr="00140348" w:rsidTr="00B70D80">
              <w:tc>
                <w:tcPr>
                  <w:tcW w:w="10490" w:type="dxa"/>
                  <w:tcBorders>
                    <w:top w:val="nil"/>
                    <w:left w:val="nil"/>
                    <w:bottom w:val="nil"/>
                    <w:right w:val="nil"/>
                  </w:tcBorders>
                  <w:tcMar>
                    <w:top w:w="0" w:type="dxa"/>
                    <w:left w:w="360" w:type="dxa"/>
                    <w:bottom w:w="180" w:type="dxa"/>
                    <w:right w:w="0" w:type="dxa"/>
                  </w:tcMar>
                  <w:hideMark/>
                </w:tcPr>
                <w:p w:rsidR="00140348" w:rsidRPr="00140348" w:rsidRDefault="00140348" w:rsidP="00B70D80">
                  <w:pPr>
                    <w:spacing w:after="0" w:line="240" w:lineRule="auto"/>
                    <w:ind w:left="-360" w:right="425"/>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 xml:space="preserve">Gezien de ermee gepaard gaande kosten en de noodzakelijke snelheid, lijkt een kwalitatief onderzoek het meest in de rede te liggen. Bovendien heeft een kwalitatief onderzoek het voordeel dat er bijgestuurd kan worden. Als je dit inziet, maar toch uitkomt op een kwantitatief onderzoek, kun je desondanks gelijk hebben, mits je aangeeft dat het onderzoek zo moet worden ingericht dat de populatie niet de indruk krijgt met een referendum te maken te hebben. Het is voorstelbaar dat een kwantitatief onderzoek, dat respectvol is opgezet, </w:t>
                  </w:r>
                  <w:proofErr w:type="spellStart"/>
                  <w:r w:rsidRPr="00140348">
                    <w:rPr>
                      <w:rFonts w:ascii="Arial" w:eastAsia="Times New Roman" w:hAnsi="Arial" w:cs="Arial"/>
                      <w:color w:val="333333"/>
                      <w:sz w:val="20"/>
                      <w:szCs w:val="20"/>
                      <w:lang w:val="nl-NL"/>
                    </w:rPr>
                    <w:t>draagvlakvergrotend</w:t>
                  </w:r>
                  <w:proofErr w:type="spellEnd"/>
                  <w:r w:rsidRPr="00140348">
                    <w:rPr>
                      <w:rFonts w:ascii="Arial" w:eastAsia="Times New Roman" w:hAnsi="Arial" w:cs="Arial"/>
                      <w:color w:val="333333"/>
                      <w:sz w:val="20"/>
                      <w:szCs w:val="20"/>
                      <w:lang w:val="nl-NL"/>
                    </w:rPr>
                    <w:t xml:space="preserve"> werkt onder het motto: 'ze luisteren naar ons'. Het ligt het meest voor de hand te kiezen voor een kwalitatief onderzoek. Je dient in je beantwoording uit te gaan van een bepaald type kwalitatief onderzoek en aan te geven in de beschrijving van de opzet onder wie het moet plaatsvinden. Daarbij is het belangrijk dat de populatie grotendeels gekozen wordt uit de omgeving van de voorgestelde locatie en in elk geval de meest betrokkenen moet bevatten (buren, huidige gebruikers van het klooster, bewoners van Ommelanden), maar ook mensen uit aanpalende wijken.</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Onderzoekstype</w:t>
                  </w:r>
                  <w:proofErr w:type="spellEnd"/>
                  <w:r w:rsidRPr="00140348">
                    <w:rPr>
                      <w:rFonts w:ascii="Arial" w:eastAsia="Times New Roman" w:hAnsi="Arial" w:cs="Arial"/>
                      <w:color w:val="333333"/>
                      <w:sz w:val="20"/>
                      <w:szCs w:val="20"/>
                    </w:rPr>
                    <w:t xml:space="preserve"> </w:t>
                  </w:r>
                  <w:proofErr w:type="spellStart"/>
                  <w:r w:rsidRPr="00140348">
                    <w:rPr>
                      <w:rFonts w:ascii="Arial" w:eastAsia="Times New Roman" w:hAnsi="Arial" w:cs="Arial"/>
                      <w:color w:val="333333"/>
                      <w:sz w:val="20"/>
                      <w:szCs w:val="20"/>
                    </w:rPr>
                    <w:t>kwalitatief</w:t>
                  </w:r>
                  <w:proofErr w:type="spellEnd"/>
                  <w:r w:rsidRPr="00140348">
                    <w:rPr>
                      <w:rFonts w:ascii="Arial" w:eastAsia="Times New Roman" w:hAnsi="Arial" w:cs="Arial"/>
                      <w:color w:val="333333"/>
                      <w:sz w:val="20"/>
                      <w:szCs w:val="20"/>
                    </w:rPr>
                    <w:t xml:space="preserve"> (met </w:t>
                  </w:r>
                  <w:proofErr w:type="spellStart"/>
                  <w:r w:rsidRPr="00140348">
                    <w:rPr>
                      <w:rFonts w:ascii="Arial" w:eastAsia="Times New Roman" w:hAnsi="Arial" w:cs="Arial"/>
                      <w:color w:val="333333"/>
                      <w:sz w:val="20"/>
                      <w:szCs w:val="20"/>
                    </w:rPr>
                    <w:t>argumenten</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Groepsinterview</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Persoonlijk</w:t>
                  </w:r>
                  <w:proofErr w:type="spellEnd"/>
                  <w:r w:rsidRPr="00140348">
                    <w:rPr>
                      <w:rFonts w:ascii="Arial" w:eastAsia="Times New Roman" w:hAnsi="Arial" w:cs="Arial"/>
                      <w:color w:val="333333"/>
                      <w:sz w:val="20"/>
                      <w:szCs w:val="20"/>
                    </w:rPr>
                    <w:t xml:space="preserve"> interview;</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Paneldiscussie</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lastRenderedPageBreak/>
                    <w:t>Focusgroups</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Netwerkanalyse</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2"/>
                    </w:numPr>
                    <w:spacing w:after="0" w:line="240" w:lineRule="auto"/>
                    <w:ind w:right="-421"/>
                    <w:rPr>
                      <w:rFonts w:ascii="Arial" w:eastAsia="Times New Roman" w:hAnsi="Arial" w:cs="Arial"/>
                      <w:color w:val="333333"/>
                      <w:sz w:val="20"/>
                      <w:szCs w:val="20"/>
                      <w:lang w:val="nl-NL"/>
                    </w:rPr>
                  </w:pPr>
                  <w:proofErr w:type="spellStart"/>
                  <w:r w:rsidRPr="00140348">
                    <w:rPr>
                      <w:rFonts w:ascii="Arial" w:eastAsia="Times New Roman" w:hAnsi="Arial" w:cs="Arial"/>
                      <w:color w:val="333333"/>
                      <w:sz w:val="20"/>
                      <w:szCs w:val="20"/>
                      <w:lang w:val="nl-NL"/>
                    </w:rPr>
                    <w:t>Mediaresponseanalyse</w:t>
                  </w:r>
                  <w:proofErr w:type="spellEnd"/>
                  <w:r w:rsidRPr="00140348">
                    <w:rPr>
                      <w:rFonts w:ascii="Arial" w:eastAsia="Times New Roman" w:hAnsi="Arial" w:cs="Arial"/>
                      <w:color w:val="333333"/>
                      <w:sz w:val="20"/>
                      <w:szCs w:val="20"/>
                      <w:lang w:val="nl-NL"/>
                    </w:rPr>
                    <w:t xml:space="preserve"> (alleen in combinatie met een ander type).</w:t>
                  </w:r>
                </w:p>
                <w:p w:rsidR="00140348" w:rsidRPr="00140348" w:rsidRDefault="00140348" w:rsidP="00140348">
                  <w:pPr>
                    <w:spacing w:before="180" w:after="0" w:line="240" w:lineRule="atLeast"/>
                    <w:ind w:right="-421"/>
                    <w:outlineLvl w:val="4"/>
                    <w:rPr>
                      <w:rFonts w:ascii="Arial" w:eastAsia="Times New Roman" w:hAnsi="Arial" w:cs="Arial"/>
                      <w:b/>
                      <w:bCs/>
                      <w:color w:val="333333"/>
                      <w:sz w:val="20"/>
                      <w:szCs w:val="20"/>
                      <w:lang w:val="nl-NL"/>
                    </w:rPr>
                  </w:pPr>
                  <w:r w:rsidRPr="00140348">
                    <w:rPr>
                      <w:rFonts w:ascii="Arial" w:eastAsia="Times New Roman" w:hAnsi="Arial" w:cs="Arial"/>
                      <w:b/>
                      <w:bCs/>
                      <w:color w:val="333333"/>
                      <w:sz w:val="20"/>
                      <w:szCs w:val="20"/>
                      <w:lang w:val="nl-NL"/>
                    </w:rPr>
                    <w:t>Onderzoeksopzet</w:t>
                  </w:r>
                </w:p>
                <w:p w:rsidR="00140348" w:rsidRPr="00140348" w:rsidRDefault="00140348" w:rsidP="00140348">
                  <w:p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Voor de onderzoeksopzet moet de kandidaat verder gaan dan de in de vraag opgenomen elementen (probleemstelling, doelstelling, kosten en tijdpad). Zoals vermeld in Hogendoorn kan de kandidaat het model voor een onderzoeksopzet volgens Verschuren hanteren:</w:t>
                  </w:r>
                </w:p>
                <w:p w:rsidR="00140348" w:rsidRPr="00140348" w:rsidRDefault="00140348" w:rsidP="00B70D80">
                  <w:pPr>
                    <w:numPr>
                      <w:ilvl w:val="0"/>
                      <w:numId w:val="3"/>
                    </w:numPr>
                    <w:spacing w:after="0" w:line="240" w:lineRule="auto"/>
                    <w:ind w:right="397"/>
                    <w:rPr>
                      <w:rFonts w:ascii="Arial" w:eastAsia="Times New Roman" w:hAnsi="Arial" w:cs="Arial"/>
                      <w:color w:val="333333"/>
                      <w:sz w:val="20"/>
                      <w:szCs w:val="20"/>
                    </w:rPr>
                  </w:pPr>
                  <w:r w:rsidRPr="00140348">
                    <w:rPr>
                      <w:rFonts w:ascii="Arial" w:eastAsia="Times New Roman" w:hAnsi="Arial" w:cs="Arial"/>
                      <w:color w:val="333333"/>
                      <w:sz w:val="20"/>
                      <w:szCs w:val="20"/>
                      <w:lang w:val="nl-NL"/>
                    </w:rPr>
                    <w:t>Waarom (wordt het onderzoek begonnen) (= doelstelling)?</w:t>
                  </w:r>
                  <w:r w:rsidRPr="00140348">
                    <w:rPr>
                      <w:rFonts w:ascii="Arial" w:eastAsia="Times New Roman" w:hAnsi="Arial" w:cs="Arial"/>
                      <w:color w:val="333333"/>
                      <w:sz w:val="20"/>
                      <w:szCs w:val="20"/>
                      <w:lang w:val="nl-NL"/>
                    </w:rPr>
                    <w:br/>
                    <w:t xml:space="preserve">Volgens Hogendoorn valt de probleemstelling uiteen in een vraagstelling en een doelstelling. De kandidaat kan dus bij probleemstelling ook al de doelstelling meenemen. </w:t>
                  </w:r>
                  <w:proofErr w:type="spellStart"/>
                  <w:r w:rsidRPr="00140348">
                    <w:rPr>
                      <w:rFonts w:ascii="Arial" w:eastAsia="Times New Roman" w:hAnsi="Arial" w:cs="Arial"/>
                      <w:color w:val="333333"/>
                      <w:sz w:val="20"/>
                      <w:szCs w:val="20"/>
                    </w:rPr>
                    <w:t>Voorbeeld</w:t>
                  </w:r>
                  <w:proofErr w:type="spellEnd"/>
                  <w:r w:rsidRPr="00140348">
                    <w:rPr>
                      <w:rFonts w:ascii="Arial" w:eastAsia="Times New Roman" w:hAnsi="Arial" w:cs="Arial"/>
                      <w:color w:val="333333"/>
                      <w:sz w:val="20"/>
                      <w:szCs w:val="20"/>
                    </w:rPr>
                    <w:t xml:space="preserve"> van </w:t>
                  </w:r>
                  <w:proofErr w:type="spellStart"/>
                  <w:r w:rsidRPr="00140348">
                    <w:rPr>
                      <w:rFonts w:ascii="Arial" w:eastAsia="Times New Roman" w:hAnsi="Arial" w:cs="Arial"/>
                      <w:color w:val="333333"/>
                      <w:sz w:val="20"/>
                      <w:szCs w:val="20"/>
                    </w:rPr>
                    <w:t>een</w:t>
                  </w:r>
                  <w:proofErr w:type="spellEnd"/>
                  <w:r w:rsidRPr="00140348">
                    <w:rPr>
                      <w:rFonts w:ascii="Arial" w:eastAsia="Times New Roman" w:hAnsi="Arial" w:cs="Arial"/>
                      <w:color w:val="333333"/>
                      <w:sz w:val="20"/>
                      <w:szCs w:val="20"/>
                    </w:rPr>
                    <w:t xml:space="preserve"> </w:t>
                  </w:r>
                  <w:proofErr w:type="spellStart"/>
                  <w:r w:rsidRPr="00140348">
                    <w:rPr>
                      <w:rFonts w:ascii="Arial" w:eastAsia="Times New Roman" w:hAnsi="Arial" w:cs="Arial"/>
                      <w:color w:val="333333"/>
                      <w:sz w:val="20"/>
                      <w:szCs w:val="20"/>
                    </w:rPr>
                    <w:t>antwoord</w:t>
                  </w:r>
                  <w:proofErr w:type="spellEnd"/>
                  <w:r w:rsidRPr="00140348">
                    <w:rPr>
                      <w:rFonts w:ascii="Arial" w:eastAsia="Times New Roman" w:hAnsi="Arial" w:cs="Arial"/>
                      <w:color w:val="333333"/>
                      <w:sz w:val="20"/>
                      <w:szCs w:val="20"/>
                    </w:rPr>
                    <w:t>:</w:t>
                  </w:r>
                </w:p>
                <w:p w:rsidR="00140348" w:rsidRDefault="00B70D80" w:rsidP="00B70D80">
                  <w:pPr>
                    <w:spacing w:after="0" w:afterAutospacing="1" w:line="240" w:lineRule="auto"/>
                    <w:ind w:left="720" w:right="425"/>
                    <w:rPr>
                      <w:rFonts w:ascii="Arial" w:eastAsia="Times New Roman" w:hAnsi="Arial" w:cs="Arial"/>
                      <w:color w:val="333333"/>
                      <w:sz w:val="20"/>
                      <w:szCs w:val="20"/>
                      <w:lang w:val="nl-NL"/>
                    </w:rPr>
                  </w:pPr>
                  <w:r>
                    <w:rPr>
                      <w:rFonts w:ascii="Arial" w:eastAsia="Times New Roman" w:hAnsi="Arial" w:cs="Arial"/>
                      <w:color w:val="333333"/>
                      <w:sz w:val="20"/>
                      <w:szCs w:val="20"/>
                      <w:lang w:val="nl-NL"/>
                    </w:rPr>
                    <w:br/>
                  </w:r>
                  <w:r w:rsidR="00140348" w:rsidRPr="00140348">
                    <w:rPr>
                      <w:rFonts w:ascii="Arial" w:eastAsia="Times New Roman" w:hAnsi="Arial" w:cs="Arial"/>
                      <w:color w:val="333333"/>
                      <w:sz w:val="20"/>
                      <w:szCs w:val="20"/>
                      <w:lang w:val="nl-NL"/>
                    </w:rPr>
                    <w:t>Doelstelling (</w:t>
                  </w:r>
                  <w:r w:rsidR="00140348" w:rsidRPr="00140348">
                    <w:rPr>
                      <w:rFonts w:ascii="Arial" w:eastAsia="Times New Roman" w:hAnsi="Arial" w:cs="Arial"/>
                      <w:i/>
                      <w:iCs/>
                      <w:color w:val="333333"/>
                      <w:sz w:val="20"/>
                      <w:szCs w:val="20"/>
                      <w:lang w:val="nl-NL"/>
                    </w:rPr>
                    <w:t>van</w:t>
                  </w:r>
                  <w:r w:rsidR="00140348" w:rsidRPr="00140348">
                    <w:rPr>
                      <w:rFonts w:ascii="Arial" w:eastAsia="Times New Roman" w:hAnsi="Arial" w:cs="Arial"/>
                      <w:color w:val="333333"/>
                      <w:sz w:val="20"/>
                      <w:szCs w:val="20"/>
                      <w:lang w:val="nl-NL"/>
                    </w:rPr>
                    <w:t> het onderzoek) is: het bepalen van het draagvlak onder de inwoners van Broekhoven voor de vestiging van een asielzoekerscentrum in het voormalige klooster. Vraagstelling (</w:t>
                  </w:r>
                  <w:r w:rsidR="00140348" w:rsidRPr="00140348">
                    <w:rPr>
                      <w:rFonts w:ascii="Arial" w:eastAsia="Times New Roman" w:hAnsi="Arial" w:cs="Arial"/>
                      <w:i/>
                      <w:iCs/>
                      <w:color w:val="333333"/>
                      <w:sz w:val="20"/>
                      <w:szCs w:val="20"/>
                      <w:lang w:val="nl-NL"/>
                    </w:rPr>
                    <w:t>in</w:t>
                  </w:r>
                  <w:r w:rsidR="00140348" w:rsidRPr="00140348">
                    <w:rPr>
                      <w:rFonts w:ascii="Arial" w:eastAsia="Times New Roman" w:hAnsi="Arial" w:cs="Arial"/>
                      <w:color w:val="333333"/>
                      <w:sz w:val="20"/>
                      <w:szCs w:val="20"/>
                      <w:lang w:val="nl-NL"/>
                    </w:rPr>
                    <w:t> het </w:t>
                  </w:r>
                  <w:r w:rsidR="00140348" w:rsidRPr="00140348">
                    <w:rPr>
                      <w:rFonts w:ascii="Arial" w:eastAsia="Times New Roman" w:hAnsi="Arial" w:cs="Arial"/>
                      <w:b/>
                      <w:bCs/>
                      <w:color w:val="333333"/>
                      <w:sz w:val="20"/>
                      <w:szCs w:val="20"/>
                      <w:lang w:val="nl-NL"/>
                    </w:rPr>
                    <w:t>kwalitatieve</w:t>
                  </w:r>
                  <w:r w:rsidR="00140348" w:rsidRPr="00140348">
                    <w:rPr>
                      <w:rFonts w:ascii="Arial" w:eastAsia="Times New Roman" w:hAnsi="Arial" w:cs="Arial"/>
                      <w:color w:val="333333"/>
                      <w:sz w:val="20"/>
                      <w:szCs w:val="20"/>
                      <w:lang w:val="nl-NL"/>
                    </w:rPr>
                    <w:t> onderzoek): wat is de houding van de (meest betrokken) inwoners van Broekhoven ten opzichte van de voorgenomen vestiging van een asielzoekerscentrum in het voormalige klooster?</w:t>
                  </w:r>
                </w:p>
                <w:p w:rsidR="00140348" w:rsidRPr="00140348" w:rsidRDefault="00140348" w:rsidP="00140348">
                  <w:pPr>
                    <w:spacing w:after="0" w:afterAutospacing="1" w:line="240" w:lineRule="auto"/>
                    <w:ind w:left="720"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Vraagstelling (</w:t>
                  </w:r>
                  <w:r w:rsidRPr="00140348">
                    <w:rPr>
                      <w:rFonts w:ascii="Arial" w:eastAsia="Times New Roman" w:hAnsi="Arial" w:cs="Arial"/>
                      <w:i/>
                      <w:iCs/>
                      <w:color w:val="333333"/>
                      <w:sz w:val="20"/>
                      <w:szCs w:val="20"/>
                      <w:lang w:val="nl-NL"/>
                    </w:rPr>
                    <w:t>in</w:t>
                  </w:r>
                  <w:r w:rsidRPr="00140348">
                    <w:rPr>
                      <w:rFonts w:ascii="Arial" w:eastAsia="Times New Roman" w:hAnsi="Arial" w:cs="Arial"/>
                      <w:color w:val="333333"/>
                      <w:sz w:val="20"/>
                      <w:szCs w:val="20"/>
                      <w:lang w:val="nl-NL"/>
                    </w:rPr>
                    <w:t> het </w:t>
                  </w:r>
                  <w:r w:rsidRPr="00140348">
                    <w:rPr>
                      <w:rFonts w:ascii="Arial" w:eastAsia="Times New Roman" w:hAnsi="Arial" w:cs="Arial"/>
                      <w:b/>
                      <w:bCs/>
                      <w:color w:val="333333"/>
                      <w:sz w:val="20"/>
                      <w:szCs w:val="20"/>
                      <w:lang w:val="nl-NL"/>
                    </w:rPr>
                    <w:t>kwantitatieve</w:t>
                  </w:r>
                  <w:r w:rsidRPr="00140348">
                    <w:rPr>
                      <w:rFonts w:ascii="Arial" w:eastAsia="Times New Roman" w:hAnsi="Arial" w:cs="Arial"/>
                      <w:color w:val="333333"/>
                      <w:sz w:val="20"/>
                      <w:szCs w:val="20"/>
                      <w:lang w:val="nl-NL"/>
                    </w:rPr>
                    <w:t> onderzoek): hoeveel procent van de (meest betrokken) inwoners van Broekhoven heeft welke houding (bijvoorbeeld: positief, gematigd positief, neutraal, enigszins negatief en zeer negatief) ten opzichte van de voorgenomen vestiging van een asielzoekerscentrum in het voormalige klooster?</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Wat (zoekt men in het onderzoek) (= vraagstelling)?</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Waar (zoekt men de benodigde informatie)?</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Hoe (gaat men het onderzoek uitvoeren)?</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Hoeveel (middelen staan ter beschikking) (= kosten)?</w:t>
                  </w:r>
                  <w:r w:rsidRPr="00140348">
                    <w:rPr>
                      <w:rFonts w:ascii="Arial" w:eastAsia="Times New Roman" w:hAnsi="Arial" w:cs="Arial"/>
                      <w:color w:val="333333"/>
                      <w:sz w:val="20"/>
                      <w:szCs w:val="20"/>
                      <w:lang w:val="nl-NL"/>
                    </w:rPr>
                    <w:br/>
                    <w:t>Je moet hier overwegingen geven die kunnen leiden tot een besluit over de kosten. Deze overwegingen hangen af van de argumentatie van de kandidaat over: het belang van het onderzoek, de omvang van de gemeente, de verantwoording achteraf over de gemaakte onderzoekskosten in relatie met het onderwerp, etc.</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Wanneer (wordt het onderzoek uitgevoerd) (= tijdpad)?</w:t>
                  </w:r>
                </w:p>
                <w:p w:rsidR="00140348" w:rsidRPr="00140348" w:rsidRDefault="00140348" w:rsidP="00140348">
                  <w:pPr>
                    <w:numPr>
                      <w:ilvl w:val="0"/>
                      <w:numId w:val="3"/>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Wie (gaat het onderzoek uitvoeren)?</w:t>
                  </w:r>
                </w:p>
                <w:p w:rsidR="00140348" w:rsidRPr="00140348" w:rsidRDefault="00140348" w:rsidP="00140348">
                  <w:pPr>
                    <w:spacing w:before="180" w:after="0" w:line="240" w:lineRule="atLeast"/>
                    <w:ind w:right="-421"/>
                    <w:outlineLvl w:val="4"/>
                    <w:rPr>
                      <w:rFonts w:ascii="Arial" w:eastAsia="Times New Roman" w:hAnsi="Arial" w:cs="Arial"/>
                      <w:b/>
                      <w:bCs/>
                      <w:color w:val="333333"/>
                      <w:sz w:val="20"/>
                      <w:szCs w:val="20"/>
                      <w:lang w:val="nl-NL"/>
                    </w:rPr>
                  </w:pPr>
                  <w:r w:rsidRPr="00140348">
                    <w:rPr>
                      <w:rFonts w:ascii="Arial" w:eastAsia="Times New Roman" w:hAnsi="Arial" w:cs="Arial"/>
                      <w:b/>
                      <w:bCs/>
                      <w:color w:val="333333"/>
                      <w:sz w:val="20"/>
                      <w:szCs w:val="20"/>
                      <w:lang w:val="nl-NL"/>
                    </w:rPr>
                    <w:t>Criteria voor zelf doen of uitbesteden</w:t>
                  </w:r>
                </w:p>
                <w:p w:rsidR="00140348" w:rsidRPr="00140348" w:rsidRDefault="00140348" w:rsidP="00140348">
                  <w:pPr>
                    <w:numPr>
                      <w:ilvl w:val="0"/>
                      <w:numId w:val="4"/>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Kosten</w:t>
                  </w:r>
                  <w:proofErr w:type="spellEnd"/>
                  <w:r w:rsidRPr="00140348">
                    <w:rPr>
                      <w:rFonts w:ascii="Arial" w:eastAsia="Times New Roman" w:hAnsi="Arial" w:cs="Arial"/>
                      <w:color w:val="333333"/>
                      <w:sz w:val="20"/>
                      <w:szCs w:val="20"/>
                    </w:rPr>
                    <w:t xml:space="preserve"> / </w:t>
                  </w:r>
                  <w:proofErr w:type="spellStart"/>
                  <w:r w:rsidRPr="00140348">
                    <w:rPr>
                      <w:rFonts w:ascii="Arial" w:eastAsia="Times New Roman" w:hAnsi="Arial" w:cs="Arial"/>
                      <w:color w:val="333333"/>
                      <w:sz w:val="20"/>
                      <w:szCs w:val="20"/>
                    </w:rPr>
                    <w:t>beschikbaar</w:t>
                  </w:r>
                  <w:proofErr w:type="spellEnd"/>
                  <w:r w:rsidRPr="00140348">
                    <w:rPr>
                      <w:rFonts w:ascii="Arial" w:eastAsia="Times New Roman" w:hAnsi="Arial" w:cs="Arial"/>
                      <w:color w:val="333333"/>
                      <w:sz w:val="20"/>
                      <w:szCs w:val="20"/>
                    </w:rPr>
                    <w:t xml:space="preserve"> budget</w:t>
                  </w:r>
                </w:p>
                <w:p w:rsidR="00140348" w:rsidRPr="00140348" w:rsidRDefault="00140348" w:rsidP="00140348">
                  <w:pPr>
                    <w:numPr>
                      <w:ilvl w:val="0"/>
                      <w:numId w:val="4"/>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Beschikbare</w:t>
                  </w:r>
                  <w:proofErr w:type="spellEnd"/>
                  <w:r w:rsidRPr="00140348">
                    <w:rPr>
                      <w:rFonts w:ascii="Arial" w:eastAsia="Times New Roman" w:hAnsi="Arial" w:cs="Arial"/>
                      <w:color w:val="333333"/>
                      <w:sz w:val="20"/>
                      <w:szCs w:val="20"/>
                    </w:rPr>
                    <w:t xml:space="preserve"> </w:t>
                  </w:r>
                  <w:proofErr w:type="spellStart"/>
                  <w:r w:rsidRPr="00140348">
                    <w:rPr>
                      <w:rFonts w:ascii="Arial" w:eastAsia="Times New Roman" w:hAnsi="Arial" w:cs="Arial"/>
                      <w:color w:val="333333"/>
                      <w:sz w:val="20"/>
                      <w:szCs w:val="20"/>
                    </w:rPr>
                    <w:t>tijd</w:t>
                  </w:r>
                  <w:proofErr w:type="spellEnd"/>
                  <w:r w:rsidRPr="00140348">
                    <w:rPr>
                      <w:rFonts w:ascii="Arial" w:eastAsia="Times New Roman" w:hAnsi="Arial" w:cs="Arial"/>
                      <w:color w:val="333333"/>
                      <w:sz w:val="20"/>
                      <w:szCs w:val="20"/>
                    </w:rPr>
                    <w:t xml:space="preserve"> (</w:t>
                  </w:r>
                  <w:proofErr w:type="spellStart"/>
                  <w:r w:rsidRPr="00140348">
                    <w:rPr>
                      <w:rFonts w:ascii="Arial" w:eastAsia="Times New Roman" w:hAnsi="Arial" w:cs="Arial"/>
                      <w:color w:val="333333"/>
                      <w:sz w:val="20"/>
                      <w:szCs w:val="20"/>
                    </w:rPr>
                    <w:t>tijdsklem</w:t>
                  </w:r>
                  <w:proofErr w:type="spellEnd"/>
                  <w:r w:rsidRPr="00140348">
                    <w:rPr>
                      <w:rFonts w:ascii="Arial" w:eastAsia="Times New Roman" w:hAnsi="Arial" w:cs="Arial"/>
                      <w:color w:val="333333"/>
                      <w:sz w:val="20"/>
                      <w:szCs w:val="20"/>
                    </w:rPr>
                    <w:t>)</w:t>
                  </w:r>
                </w:p>
                <w:p w:rsidR="00140348" w:rsidRPr="00140348" w:rsidRDefault="00140348" w:rsidP="00140348">
                  <w:pPr>
                    <w:numPr>
                      <w:ilvl w:val="0"/>
                      <w:numId w:val="4"/>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Kennis van onderzoek in eigen huis</w:t>
                  </w:r>
                </w:p>
                <w:p w:rsidR="00140348" w:rsidRPr="00140348" w:rsidRDefault="00140348" w:rsidP="00140348">
                  <w:pPr>
                    <w:numPr>
                      <w:ilvl w:val="0"/>
                      <w:numId w:val="4"/>
                    </w:num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Kennis van communicatieonderzoek in eigen huis</w:t>
                  </w:r>
                </w:p>
                <w:p w:rsidR="00140348" w:rsidRPr="00140348" w:rsidRDefault="00140348" w:rsidP="00140348">
                  <w:pPr>
                    <w:numPr>
                      <w:ilvl w:val="0"/>
                      <w:numId w:val="4"/>
                    </w:numPr>
                    <w:spacing w:after="0" w:line="240" w:lineRule="auto"/>
                    <w:ind w:right="-421"/>
                    <w:rPr>
                      <w:rFonts w:ascii="Arial" w:eastAsia="Times New Roman" w:hAnsi="Arial" w:cs="Arial"/>
                      <w:color w:val="333333"/>
                      <w:sz w:val="20"/>
                      <w:szCs w:val="20"/>
                    </w:rPr>
                  </w:pPr>
                  <w:proofErr w:type="spellStart"/>
                  <w:r w:rsidRPr="00140348">
                    <w:rPr>
                      <w:rFonts w:ascii="Arial" w:eastAsia="Times New Roman" w:hAnsi="Arial" w:cs="Arial"/>
                      <w:color w:val="333333"/>
                      <w:sz w:val="20"/>
                      <w:szCs w:val="20"/>
                    </w:rPr>
                    <w:t>Onafhankelijkheid</w:t>
                  </w:r>
                  <w:proofErr w:type="spellEnd"/>
                </w:p>
              </w:tc>
            </w:tr>
          </w:tbl>
          <w:p w:rsidR="00140348" w:rsidRPr="00140348" w:rsidRDefault="00140348" w:rsidP="00140348">
            <w:pPr>
              <w:spacing w:after="0" w:line="240" w:lineRule="auto"/>
              <w:ind w:right="-421"/>
              <w:rPr>
                <w:rFonts w:ascii="Arial" w:eastAsia="Times New Roman" w:hAnsi="Arial" w:cs="Arial"/>
                <w:sz w:val="20"/>
                <w:szCs w:val="20"/>
              </w:rPr>
            </w:pPr>
          </w:p>
        </w:tc>
      </w:tr>
      <w:tr w:rsidR="00140348" w:rsidRPr="00140348" w:rsidTr="00B70D80">
        <w:trPr>
          <w:trHeight w:val="300"/>
        </w:trPr>
        <w:tc>
          <w:tcPr>
            <w:tcW w:w="356" w:type="dxa"/>
            <w:tcBorders>
              <w:top w:val="nil"/>
              <w:left w:val="nil"/>
              <w:bottom w:val="nil"/>
              <w:right w:val="nil"/>
            </w:tcBorders>
            <w:hideMark/>
          </w:tcPr>
          <w:p w:rsidR="00140348" w:rsidRPr="00140348" w:rsidRDefault="00140348" w:rsidP="00140348">
            <w:pPr>
              <w:spacing w:after="0" w:line="240" w:lineRule="auto"/>
              <w:ind w:right="-421"/>
              <w:rPr>
                <w:rFonts w:ascii="Arial" w:eastAsia="Times New Roman" w:hAnsi="Arial" w:cs="Arial"/>
                <w:b/>
                <w:bCs/>
                <w:sz w:val="20"/>
                <w:szCs w:val="20"/>
              </w:rPr>
            </w:pPr>
            <w:r w:rsidRPr="00140348">
              <w:rPr>
                <w:rFonts w:ascii="Arial" w:eastAsia="Times New Roman" w:hAnsi="Arial" w:cs="Arial"/>
                <w:b/>
                <w:bCs/>
                <w:sz w:val="20"/>
                <w:szCs w:val="20"/>
              </w:rPr>
              <w:lastRenderedPageBreak/>
              <w:t>b</w:t>
            </w:r>
          </w:p>
        </w:tc>
        <w:tc>
          <w:tcPr>
            <w:tcW w:w="0" w:type="auto"/>
            <w:tcBorders>
              <w:top w:val="nil"/>
              <w:left w:val="nil"/>
              <w:bottom w:val="nil"/>
              <w:right w:val="nil"/>
            </w:tcBorders>
            <w:hideMark/>
          </w:tcPr>
          <w:p w:rsidR="00140348" w:rsidRPr="00140348" w:rsidRDefault="00140348" w:rsidP="00140348">
            <w:pPr>
              <w:spacing w:after="18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Een wijkbewoner van Ommelanden heeft B&amp;W een brief gestuurd waarin ze aandacht vraagt voor de veiligheid in de wijk. De wijkbewoner vraagt zich af of er geen overlast en verstoring van de openbare orde kunnen ontstaan door de komst van de asielzoekers? Er is een antwoordbrief geschreven; deze ligt klaar voor verzending. Een journaliste belt je op met de vraag of zij de brief alvast op de fax mag ontvangen. Hoe reageer je op het verzoek van de journaliste? Motiveer je antwoord.</w:t>
            </w:r>
          </w:p>
        </w:tc>
      </w:tr>
      <w:tr w:rsidR="00140348" w:rsidRPr="00140348" w:rsidTr="00140348">
        <w:tc>
          <w:tcPr>
            <w:tcW w:w="0" w:type="auto"/>
            <w:gridSpan w:val="2"/>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10080"/>
            </w:tblGrid>
            <w:tr w:rsidR="00140348" w:rsidRPr="00140348">
              <w:tc>
                <w:tcPr>
                  <w:tcW w:w="0" w:type="auto"/>
                  <w:tcBorders>
                    <w:top w:val="nil"/>
                    <w:left w:val="nil"/>
                    <w:bottom w:val="nil"/>
                    <w:right w:val="nil"/>
                  </w:tcBorders>
                  <w:tcMar>
                    <w:top w:w="180" w:type="dxa"/>
                    <w:left w:w="0" w:type="dxa"/>
                    <w:bottom w:w="0" w:type="dxa"/>
                    <w:right w:w="0" w:type="dxa"/>
                  </w:tcMar>
                  <w:hideMark/>
                </w:tcPr>
                <w:p w:rsidR="00140348" w:rsidRPr="00140348" w:rsidRDefault="00140348" w:rsidP="00140348">
                  <w:pPr>
                    <w:spacing w:after="0" w:line="240" w:lineRule="auto"/>
                    <w:ind w:right="-421"/>
                    <w:rPr>
                      <w:rFonts w:ascii="Arial" w:eastAsia="Times New Roman" w:hAnsi="Arial" w:cs="Arial"/>
                      <w:b/>
                      <w:bCs/>
                      <w:sz w:val="20"/>
                      <w:szCs w:val="20"/>
                    </w:rPr>
                  </w:pPr>
                  <w:bookmarkStart w:id="0" w:name="_GoBack"/>
                  <w:bookmarkEnd w:id="0"/>
                  <w:proofErr w:type="spellStart"/>
                  <w:r w:rsidRPr="00140348">
                    <w:rPr>
                      <w:rFonts w:ascii="Arial" w:eastAsia="Times New Roman" w:hAnsi="Arial" w:cs="Arial"/>
                      <w:b/>
                      <w:bCs/>
                      <w:sz w:val="20"/>
                      <w:szCs w:val="20"/>
                    </w:rPr>
                    <w:t>Antwoord</w:t>
                  </w:r>
                  <w:proofErr w:type="spellEnd"/>
                  <w:r w:rsidRPr="00140348">
                    <w:rPr>
                      <w:rFonts w:ascii="Arial" w:eastAsia="Times New Roman" w:hAnsi="Arial" w:cs="Arial"/>
                      <w:b/>
                      <w:bCs/>
                      <w:sz w:val="20"/>
                      <w:szCs w:val="20"/>
                    </w:rPr>
                    <w:t>:</w:t>
                  </w:r>
                </w:p>
              </w:tc>
            </w:tr>
            <w:tr w:rsidR="00140348" w:rsidRPr="00140348">
              <w:tc>
                <w:tcPr>
                  <w:tcW w:w="0" w:type="auto"/>
                  <w:tcBorders>
                    <w:top w:val="nil"/>
                    <w:left w:val="nil"/>
                    <w:bottom w:val="nil"/>
                    <w:right w:val="nil"/>
                  </w:tcBorders>
                  <w:tcMar>
                    <w:top w:w="0" w:type="dxa"/>
                    <w:left w:w="360" w:type="dxa"/>
                    <w:bottom w:w="180" w:type="dxa"/>
                    <w:right w:w="0" w:type="dxa"/>
                  </w:tcMar>
                  <w:hideMark/>
                </w:tcPr>
                <w:p w:rsidR="00140348" w:rsidRPr="00140348" w:rsidRDefault="00140348" w:rsidP="00140348">
                  <w:p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Je kunt hier op diverse manieren op reageren. Het gaat er vooral om dat je antwoord van enig realisme getuigt, dat je verstandig omgaat met de pers en dat je een relatie legt met het begrip openbaarheid van bestuur.</w:t>
                  </w:r>
                </w:p>
                <w:p w:rsidR="00140348" w:rsidRPr="00140348" w:rsidRDefault="00140348" w:rsidP="00140348">
                  <w:p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Op grond van een verwijzing naar de WOB kun je besluiten dat de journalist de brief nu NIET krijgt. Artikel 10 van de Wet Openbaarheid van Bestuur (WOB) noemt namelijk drie 'absolute' en zeven 'relatieve' uitzonderingsgronden op de regel dat alle informatie die onder een bestuursorgaan rust openbaar </w:t>
                  </w:r>
                  <w:r w:rsidRPr="00140348">
                    <w:rPr>
                      <w:rFonts w:ascii="Arial" w:eastAsia="Times New Roman" w:hAnsi="Arial" w:cs="Arial"/>
                      <w:i/>
                      <w:iCs/>
                      <w:color w:val="333333"/>
                      <w:sz w:val="20"/>
                      <w:szCs w:val="20"/>
                      <w:lang w:val="nl-NL"/>
                    </w:rPr>
                    <w:t>is</w:t>
                  </w:r>
                  <w:r w:rsidRPr="00140348">
                    <w:rPr>
                      <w:rFonts w:ascii="Arial" w:eastAsia="Times New Roman" w:hAnsi="Arial" w:cs="Arial"/>
                      <w:color w:val="333333"/>
                      <w:sz w:val="20"/>
                      <w:szCs w:val="20"/>
                      <w:lang w:val="nl-NL"/>
                    </w:rPr>
                    <w:t xml:space="preserve">. Tot de categorie 'relatieve' uitzonderingsgronden behoort “het belang, dat de geadresseerde erbij heeft als eerste kennis </w:t>
                  </w:r>
                  <w:r w:rsidRPr="00140348">
                    <w:rPr>
                      <w:rFonts w:ascii="Arial" w:eastAsia="Times New Roman" w:hAnsi="Arial" w:cs="Arial"/>
                      <w:color w:val="333333"/>
                      <w:sz w:val="20"/>
                      <w:szCs w:val="20"/>
                      <w:lang w:val="nl-NL"/>
                    </w:rPr>
                    <w:lastRenderedPageBreak/>
                    <w:t>te kunnen nemen van de informatie” (lid f.). Met de WOB in de hand maakt de kandidaat duidelijk dat de briefschrijfster eerst zelf kennis mag nemen van de aan haar gerichte brief.</w:t>
                  </w:r>
                </w:p>
                <w:p w:rsidR="00140348" w:rsidRPr="00140348" w:rsidRDefault="00140348" w:rsidP="00140348">
                  <w:p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Je kunt ook aan de journalist voorstellen dat de brief onmiddellijk naar de briefschrijfster wordt gefaxt, waarna enkele minuten later de journalist geïnformeerd wordt.</w:t>
                  </w:r>
                </w:p>
                <w:p w:rsidR="00140348" w:rsidRPr="00140348" w:rsidRDefault="00140348" w:rsidP="00140348">
                  <w:pPr>
                    <w:spacing w:after="0" w:line="240" w:lineRule="auto"/>
                    <w:ind w:right="-421"/>
                    <w:rPr>
                      <w:rFonts w:ascii="Arial" w:eastAsia="Times New Roman" w:hAnsi="Arial" w:cs="Arial"/>
                      <w:color w:val="333333"/>
                      <w:sz w:val="20"/>
                      <w:szCs w:val="20"/>
                      <w:lang w:val="nl-NL"/>
                    </w:rPr>
                  </w:pPr>
                  <w:r w:rsidRPr="00140348">
                    <w:rPr>
                      <w:rFonts w:ascii="Arial" w:eastAsia="Times New Roman" w:hAnsi="Arial" w:cs="Arial"/>
                      <w:color w:val="333333"/>
                      <w:sz w:val="20"/>
                      <w:szCs w:val="20"/>
                      <w:lang w:val="nl-NL"/>
                    </w:rPr>
                    <w:t>Je kunt ook redeneren dat het antwoord aan de wijkbewoner niet anders dan volgens het staande beleid kan zijn opgesteld en dat dat staande beleid openbaar is. Daarom hoeft er geen enkele belemmering te zijn de journalist vast te informeren.</w:t>
                  </w:r>
                </w:p>
              </w:tc>
            </w:tr>
          </w:tbl>
          <w:p w:rsidR="00140348" w:rsidRPr="00140348" w:rsidRDefault="00140348" w:rsidP="00140348">
            <w:pPr>
              <w:spacing w:after="0" w:line="240" w:lineRule="auto"/>
              <w:ind w:right="-421"/>
              <w:rPr>
                <w:rFonts w:ascii="Arial" w:eastAsia="Times New Roman" w:hAnsi="Arial" w:cs="Arial"/>
                <w:sz w:val="20"/>
                <w:szCs w:val="20"/>
                <w:lang w:val="nl-NL"/>
              </w:rPr>
            </w:pPr>
          </w:p>
        </w:tc>
      </w:tr>
    </w:tbl>
    <w:p w:rsidR="004675A7" w:rsidRPr="00140348" w:rsidRDefault="004675A7">
      <w:pPr>
        <w:rPr>
          <w:rFonts w:ascii="Arial" w:hAnsi="Arial" w:cs="Arial"/>
          <w:sz w:val="20"/>
          <w:szCs w:val="20"/>
        </w:rPr>
      </w:pPr>
    </w:p>
    <w:sectPr w:rsidR="004675A7" w:rsidRPr="00140348" w:rsidSect="00B70D8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ED3"/>
    <w:multiLevelType w:val="multilevel"/>
    <w:tmpl w:val="90349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A2E5E"/>
    <w:multiLevelType w:val="multilevel"/>
    <w:tmpl w:val="363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93843"/>
    <w:multiLevelType w:val="multilevel"/>
    <w:tmpl w:val="61C2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57477"/>
    <w:multiLevelType w:val="multilevel"/>
    <w:tmpl w:val="9412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48"/>
    <w:rsid w:val="00140348"/>
    <w:rsid w:val="00441A6E"/>
    <w:rsid w:val="004675A7"/>
    <w:rsid w:val="004860BD"/>
    <w:rsid w:val="008039FA"/>
    <w:rsid w:val="00B70D80"/>
    <w:rsid w:val="00C476BF"/>
    <w:rsid w:val="00D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6619A-FA28-4AA2-A7C0-CD893ED6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F04"/>
    <w:rPr>
      <w:rFonts w:ascii="Verdana" w:hAnsi="Verdana"/>
      <w:sz w:val="18"/>
    </w:rPr>
  </w:style>
  <w:style w:type="paragraph" w:styleId="Kop5">
    <w:name w:val="heading 5"/>
    <w:basedOn w:val="Standaard"/>
    <w:link w:val="Kop5Char"/>
    <w:uiPriority w:val="9"/>
    <w:qFormat/>
    <w:rsid w:val="001403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140348"/>
    <w:rPr>
      <w:rFonts w:ascii="Times New Roman" w:eastAsia="Times New Roman" w:hAnsi="Times New Roman" w:cs="Times New Roman"/>
      <w:b/>
      <w:bCs/>
      <w:sz w:val="20"/>
      <w:szCs w:val="20"/>
    </w:rPr>
  </w:style>
  <w:style w:type="paragraph" w:styleId="Normaalweb">
    <w:name w:val="Normal (Web)"/>
    <w:basedOn w:val="Standaard"/>
    <w:uiPriority w:val="99"/>
    <w:semiHidden/>
    <w:unhideWhenUsed/>
    <w:rsid w:val="00140348"/>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1403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40348"/>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40348"/>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4034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7985">
      <w:bodyDiv w:val="1"/>
      <w:marLeft w:val="0"/>
      <w:marRight w:val="0"/>
      <w:marTop w:val="0"/>
      <w:marBottom w:val="0"/>
      <w:divBdr>
        <w:top w:val="none" w:sz="0" w:space="0" w:color="auto"/>
        <w:left w:val="none" w:sz="0" w:space="0" w:color="auto"/>
        <w:bottom w:val="none" w:sz="0" w:space="0" w:color="auto"/>
        <w:right w:val="none" w:sz="0" w:space="0" w:color="auto"/>
      </w:divBdr>
      <w:divsChild>
        <w:div w:id="1289436211">
          <w:marLeft w:val="0"/>
          <w:marRight w:val="0"/>
          <w:marTop w:val="0"/>
          <w:marBottom w:val="0"/>
          <w:divBdr>
            <w:top w:val="none" w:sz="0" w:space="0" w:color="666666"/>
            <w:left w:val="none" w:sz="0" w:space="0" w:color="666666"/>
            <w:bottom w:val="none" w:sz="0" w:space="0" w:color="666666"/>
            <w:right w:val="none" w:sz="0" w:space="0" w:color="666666"/>
          </w:divBdr>
        </w:div>
        <w:div w:id="876553161">
          <w:marLeft w:val="0"/>
          <w:marRight w:val="0"/>
          <w:marTop w:val="0"/>
          <w:marBottom w:val="0"/>
          <w:divBdr>
            <w:top w:val="none" w:sz="0" w:space="0" w:color="666666"/>
            <w:left w:val="none" w:sz="0" w:space="0" w:color="666666"/>
            <w:bottom w:val="none" w:sz="0" w:space="0" w:color="666666"/>
            <w:right w:val="none" w:sz="0" w:space="0" w:color="666666"/>
          </w:divBdr>
          <w:divsChild>
            <w:div w:id="603919956">
              <w:marLeft w:val="0"/>
              <w:marRight w:val="0"/>
              <w:marTop w:val="0"/>
              <w:marBottom w:val="0"/>
              <w:divBdr>
                <w:top w:val="none" w:sz="0" w:space="0" w:color="666666"/>
                <w:left w:val="none" w:sz="0" w:space="0" w:color="666666"/>
                <w:bottom w:val="single" w:sz="6" w:space="0" w:color="808080"/>
                <w:right w:val="none" w:sz="0" w:space="0" w:color="666666"/>
              </w:divBdr>
            </w:div>
          </w:divsChild>
        </w:div>
        <w:div w:id="578293839">
          <w:marLeft w:val="0"/>
          <w:marRight w:val="0"/>
          <w:marTop w:val="0"/>
          <w:marBottom w:val="0"/>
          <w:divBdr>
            <w:top w:val="none" w:sz="0" w:space="0" w:color="666666"/>
            <w:left w:val="none" w:sz="0" w:space="0" w:color="666666"/>
            <w:bottom w:val="none" w:sz="0" w:space="0" w:color="666666"/>
            <w:right w:val="none" w:sz="0" w:space="0" w:color="666666"/>
          </w:divBdr>
          <w:divsChild>
            <w:div w:id="1640378319">
              <w:marLeft w:val="0"/>
              <w:marRight w:val="0"/>
              <w:marTop w:val="0"/>
              <w:marBottom w:val="0"/>
              <w:divBdr>
                <w:top w:val="none" w:sz="0" w:space="0" w:color="666666"/>
                <w:left w:val="none" w:sz="0" w:space="0" w:color="666666"/>
                <w:bottom w:val="single" w:sz="6" w:space="0" w:color="808080"/>
                <w:right w:val="none" w:sz="0" w:space="0" w:color="66666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6949</Characters>
  <Application>Microsoft Office Word</Application>
  <DocSecurity>0</DocSecurity>
  <Lines>57</Lines>
  <Paragraphs>16</Paragraphs>
  <ScaleCrop>false</ScaleCrop>
  <Company>Avans Hogeschool</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Dullens</dc:creator>
  <cp:keywords/>
  <dc:description/>
  <cp:lastModifiedBy>Maarten Dullens</cp:lastModifiedBy>
  <cp:revision>2</cp:revision>
  <dcterms:created xsi:type="dcterms:W3CDTF">2017-11-08T14:47:00Z</dcterms:created>
  <dcterms:modified xsi:type="dcterms:W3CDTF">2017-11-08T14:53:00Z</dcterms:modified>
</cp:coreProperties>
</file>